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4F11E" w14:textId="77777777" w:rsidR="005A1FEB" w:rsidRPr="00452B2A" w:rsidRDefault="005A1FEB" w:rsidP="001A6175">
      <w:pPr>
        <w:jc w:val="center"/>
        <w:rPr>
          <w:rFonts w:ascii="Arial" w:hAnsi="Arial" w:cs="Arial"/>
          <w:b/>
          <w:lang w:val="es-ES_tradnl"/>
        </w:rPr>
      </w:pPr>
    </w:p>
    <w:p w14:paraId="7B730222" w14:textId="1B69E8D9" w:rsidR="005A1FEB" w:rsidRPr="00452B2A" w:rsidRDefault="00452B2A" w:rsidP="001A6175">
      <w:pPr>
        <w:jc w:val="center"/>
        <w:rPr>
          <w:rFonts w:ascii="Arial" w:hAnsi="Arial" w:cs="Arial"/>
          <w:b/>
          <w:lang w:val="es-ES_tradnl"/>
        </w:rPr>
      </w:pPr>
      <w:r w:rsidRPr="00452B2A">
        <w:rPr>
          <w:rFonts w:ascii="Arial" w:hAnsi="Arial" w:cs="Arial"/>
          <w:b/>
          <w:lang w:val="es-ES_tradnl"/>
        </w:rPr>
        <w:t xml:space="preserve">TEXTO APROBADO EN LA COMISION PRIMERA DE LA HONORABLE CAMARA DE REPRESENTANTES EN PRIMER DEBATE </w:t>
      </w:r>
    </w:p>
    <w:p w14:paraId="25E9ABB8" w14:textId="61AB95B7" w:rsidR="00CF62D5" w:rsidRPr="00CF62D5" w:rsidRDefault="00452B2A" w:rsidP="00CF62D5">
      <w:pPr>
        <w:jc w:val="center"/>
        <w:rPr>
          <w:rFonts w:ascii="Arial" w:eastAsiaTheme="minorEastAsia" w:hAnsi="Arial"/>
          <w:b/>
          <w:color w:val="222222"/>
          <w:lang w:val="es-ES" w:eastAsia="es-ES"/>
        </w:rPr>
      </w:pPr>
      <w:r w:rsidRPr="00452B2A">
        <w:rPr>
          <w:rFonts w:ascii="Arial" w:hAnsi="Arial" w:cs="Arial"/>
          <w:b/>
          <w:lang w:val="es-ES_tradnl"/>
        </w:rPr>
        <w:t xml:space="preserve">AL </w:t>
      </w:r>
      <w:r w:rsidRPr="00452B2A">
        <w:rPr>
          <w:rFonts w:ascii="Arial" w:hAnsi="Arial" w:cs="Arial"/>
          <w:b/>
          <w:bCs/>
          <w:color w:val="000000"/>
        </w:rPr>
        <w:t>PROYECTO DE LEY N</w:t>
      </w:r>
      <w:r>
        <w:rPr>
          <w:rFonts w:ascii="Arial" w:hAnsi="Arial" w:cs="Arial"/>
          <w:b/>
          <w:bCs/>
          <w:color w:val="000000"/>
        </w:rPr>
        <w:t>o</w:t>
      </w:r>
      <w:r w:rsidRPr="00452B2A">
        <w:rPr>
          <w:rFonts w:ascii="Arial" w:hAnsi="Arial" w:cs="Arial"/>
          <w:b/>
          <w:bCs/>
          <w:color w:val="000000"/>
        </w:rPr>
        <w:t xml:space="preserve">. </w:t>
      </w:r>
      <w:r w:rsidR="00CF62D5" w:rsidRPr="00CF62D5">
        <w:rPr>
          <w:rFonts w:ascii="Arial" w:eastAsiaTheme="minorEastAsia" w:hAnsi="Arial"/>
          <w:b/>
          <w:color w:val="222222"/>
          <w:lang w:val="es-ES" w:eastAsia="es-ES"/>
        </w:rPr>
        <w:t xml:space="preserve">122 DE 2018 CAMARA </w:t>
      </w:r>
    </w:p>
    <w:p w14:paraId="106D86BE" w14:textId="77777777" w:rsidR="00CF62D5" w:rsidRPr="00CF62D5" w:rsidRDefault="00CF62D5" w:rsidP="00CF62D5">
      <w:pPr>
        <w:spacing w:line="276" w:lineRule="auto"/>
        <w:jc w:val="center"/>
        <w:rPr>
          <w:rFonts w:ascii="Arial" w:eastAsiaTheme="minorEastAsia" w:hAnsi="Arial"/>
          <w:b/>
          <w:i/>
          <w:iCs/>
          <w:lang w:val="es-ES" w:eastAsia="es-ES"/>
        </w:rPr>
      </w:pPr>
    </w:p>
    <w:p w14:paraId="54D6D2C8" w14:textId="48E72B52" w:rsidR="00CF62D5" w:rsidRPr="00CF62D5" w:rsidRDefault="00CF62D5" w:rsidP="00CF62D5">
      <w:pPr>
        <w:spacing w:line="276" w:lineRule="auto"/>
        <w:jc w:val="center"/>
        <w:rPr>
          <w:rFonts w:ascii="Arial" w:eastAsiaTheme="minorEastAsia" w:hAnsi="Arial"/>
          <w:b/>
          <w:color w:val="222222"/>
          <w:lang w:val="es-ES" w:eastAsia="es-ES"/>
        </w:rPr>
      </w:pPr>
      <w:r w:rsidRPr="00CF62D5">
        <w:rPr>
          <w:rFonts w:ascii="Arial" w:eastAsiaTheme="minorEastAsia" w:hAnsi="Arial"/>
          <w:b/>
          <w:i/>
          <w:iCs/>
          <w:lang w:val="es-ES" w:eastAsia="es-ES"/>
        </w:rPr>
        <w:t>“POR MEDIO DE LA CUAL SE MODIFICA EL ARTÍCULO 9° DE LA LEY 1447 DE 2011”</w:t>
      </w:r>
    </w:p>
    <w:p w14:paraId="50611F7E" w14:textId="77777777" w:rsidR="00CF62D5" w:rsidRPr="00CF62D5" w:rsidRDefault="00CF62D5" w:rsidP="00CF62D5">
      <w:pPr>
        <w:spacing w:line="276" w:lineRule="auto"/>
        <w:rPr>
          <w:rFonts w:ascii="Arial" w:eastAsiaTheme="minorEastAsia" w:hAnsi="Arial"/>
          <w:b/>
          <w:color w:val="222222"/>
          <w:lang w:val="es-ES" w:eastAsia="es-ES"/>
        </w:rPr>
      </w:pPr>
    </w:p>
    <w:p w14:paraId="390200A3" w14:textId="77777777" w:rsidR="00CF62D5" w:rsidRDefault="00CF62D5" w:rsidP="00CF62D5">
      <w:pPr>
        <w:spacing w:line="276" w:lineRule="auto"/>
        <w:jc w:val="center"/>
        <w:rPr>
          <w:rFonts w:ascii="Arial" w:eastAsiaTheme="minorEastAsia" w:hAnsi="Arial"/>
          <w:b/>
          <w:color w:val="222222"/>
          <w:lang w:val="es-ES" w:eastAsia="es-ES"/>
        </w:rPr>
      </w:pPr>
      <w:r w:rsidRPr="00CF62D5">
        <w:rPr>
          <w:rFonts w:ascii="Arial" w:eastAsiaTheme="minorEastAsia" w:hAnsi="Arial"/>
          <w:b/>
          <w:color w:val="222222"/>
          <w:lang w:val="es-ES" w:eastAsia="es-ES"/>
        </w:rPr>
        <w:t xml:space="preserve">EL CONGRESO DE LA REPÚBLICA </w:t>
      </w:r>
    </w:p>
    <w:p w14:paraId="00F8FC53" w14:textId="77777777" w:rsidR="00CF62D5" w:rsidRPr="00CF62D5" w:rsidRDefault="00CF62D5" w:rsidP="00CF62D5">
      <w:pPr>
        <w:spacing w:line="276" w:lineRule="auto"/>
        <w:jc w:val="center"/>
        <w:rPr>
          <w:rFonts w:ascii="Arial" w:eastAsiaTheme="minorEastAsia" w:hAnsi="Arial"/>
          <w:b/>
          <w:color w:val="222222"/>
          <w:lang w:val="es-ES" w:eastAsia="es-ES"/>
        </w:rPr>
      </w:pPr>
    </w:p>
    <w:p w14:paraId="1CDF3B38" w14:textId="77777777" w:rsidR="00CF62D5" w:rsidRPr="00CF62D5" w:rsidRDefault="00CF62D5" w:rsidP="00CF62D5">
      <w:pPr>
        <w:spacing w:line="276" w:lineRule="auto"/>
        <w:jc w:val="center"/>
        <w:rPr>
          <w:rFonts w:ascii="Arial" w:eastAsiaTheme="minorEastAsia" w:hAnsi="Arial"/>
          <w:b/>
          <w:color w:val="222222"/>
          <w:lang w:val="es-ES" w:eastAsia="es-ES"/>
        </w:rPr>
      </w:pPr>
      <w:r w:rsidRPr="00CF62D5">
        <w:rPr>
          <w:rFonts w:ascii="Arial" w:eastAsiaTheme="minorEastAsia" w:hAnsi="Arial"/>
          <w:b/>
          <w:color w:val="222222"/>
          <w:lang w:val="es-ES" w:eastAsia="es-ES"/>
        </w:rPr>
        <w:t>DECRETA:</w:t>
      </w:r>
    </w:p>
    <w:p w14:paraId="3AEF8A31" w14:textId="77777777" w:rsidR="00CF62D5" w:rsidRPr="00CF62D5" w:rsidRDefault="00CF62D5" w:rsidP="00CF62D5">
      <w:pPr>
        <w:spacing w:line="276" w:lineRule="auto"/>
        <w:rPr>
          <w:rFonts w:ascii="Arial" w:eastAsiaTheme="minorEastAsia" w:hAnsi="Arial"/>
          <w:color w:val="222222"/>
          <w:lang w:val="es-ES" w:eastAsia="es-ES"/>
        </w:rPr>
      </w:pPr>
    </w:p>
    <w:p w14:paraId="12955225" w14:textId="77777777" w:rsidR="00CF62D5" w:rsidRPr="00CF62D5" w:rsidRDefault="00CF62D5" w:rsidP="00CF62D5">
      <w:pPr>
        <w:spacing w:line="276" w:lineRule="auto"/>
        <w:rPr>
          <w:rFonts w:ascii="Arial" w:eastAsiaTheme="minorEastAsia" w:hAnsi="Arial"/>
          <w:color w:val="222222"/>
          <w:lang w:val="es-ES" w:eastAsia="es-ES"/>
        </w:rPr>
      </w:pPr>
      <w:r w:rsidRPr="00CF62D5">
        <w:rPr>
          <w:rFonts w:ascii="Arial" w:eastAsiaTheme="minorEastAsia" w:hAnsi="Arial"/>
          <w:b/>
          <w:color w:val="222222"/>
          <w:lang w:val="es-ES" w:eastAsia="es-ES"/>
        </w:rPr>
        <w:t>Artículo 1o</w:t>
      </w:r>
      <w:r w:rsidRPr="00CF62D5">
        <w:rPr>
          <w:rFonts w:ascii="Arial" w:eastAsiaTheme="minorEastAsia" w:hAnsi="Arial"/>
          <w:color w:val="222222"/>
          <w:lang w:val="es-ES" w:eastAsia="es-ES"/>
        </w:rPr>
        <w:t>. Adiciónese un parágrafo al artículo 9º de la ley 1447 de 2011, el cual quedará así:</w:t>
      </w:r>
    </w:p>
    <w:p w14:paraId="057D0ED7" w14:textId="77777777" w:rsidR="00CF62D5" w:rsidRPr="00CF62D5" w:rsidRDefault="00CF62D5" w:rsidP="00CF62D5">
      <w:pPr>
        <w:spacing w:line="276" w:lineRule="auto"/>
        <w:rPr>
          <w:rFonts w:ascii="Arial" w:eastAsiaTheme="minorEastAsia" w:hAnsi="Arial"/>
          <w:color w:val="222222"/>
          <w:lang w:val="es-ES" w:eastAsia="es-ES"/>
        </w:rPr>
      </w:pPr>
    </w:p>
    <w:p w14:paraId="29AF06D4"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b/>
          <w:bCs/>
          <w:lang w:val="es-ES" w:eastAsia="es-ES"/>
        </w:rPr>
        <w:t xml:space="preserve">Artículo 9°. </w:t>
      </w:r>
      <w:r w:rsidRPr="00CF62D5">
        <w:rPr>
          <w:rFonts w:ascii="Arial" w:eastAsiaTheme="minorEastAsia" w:hAnsi="Arial" w:cs="Arial"/>
          <w:b/>
          <w:bCs/>
          <w:i/>
          <w:iCs/>
          <w:lang w:val="es-ES" w:eastAsia="es-ES"/>
        </w:rPr>
        <w:t>Procedimiento para límites dudosos.</w:t>
      </w:r>
      <w:r w:rsidRPr="00CF62D5">
        <w:rPr>
          <w:rFonts w:ascii="Arial" w:eastAsiaTheme="minorEastAsia" w:hAnsi="Arial" w:cs="Arial"/>
          <w:i/>
          <w:iCs/>
          <w:lang w:val="es-ES" w:eastAsia="es-ES"/>
        </w:rPr>
        <w:t xml:space="preserve"> </w:t>
      </w:r>
      <w:r w:rsidRPr="00CF62D5">
        <w:rPr>
          <w:rFonts w:ascii="Arial" w:eastAsiaTheme="minorEastAsia" w:hAnsi="Arial" w:cs="Arial"/>
          <w:lang w:val="es-ES" w:eastAsia="es-ES"/>
        </w:rPr>
        <w:t>Para solucionar casos de límites dudosos, se seguirá el siguiente procedimiento, previa conformación del respectivo expediente por el IGAC.</w:t>
      </w:r>
    </w:p>
    <w:p w14:paraId="3AA5B9C0"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02D3C036"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lang w:val="es-ES" w:eastAsia="es-ES"/>
        </w:rPr>
        <w:t>1. Si se trata de límite dudoso entre municipios de un mismo departamento se procederá de esta manera.</w:t>
      </w:r>
    </w:p>
    <w:p w14:paraId="108199B5"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56F2702C"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lang w:val="es-ES" w:eastAsia="es-ES"/>
        </w:rPr>
        <w:t>El respectivo proyecto de ordenanza podrá ser presentado a iniciativa del Gobernador o de los mismos miembros de la Asamblea Departamental.</w:t>
      </w:r>
    </w:p>
    <w:p w14:paraId="2DC63A67"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28BB42E8"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lang w:val="es-ES" w:eastAsia="es-ES"/>
        </w:rPr>
        <w:t xml:space="preserve">La anexión de un área territorial de un municipio a otro no podrá afectar la categoría del municipio de donde ella se segregue, ni menguarle a este las condiciones mínimas exigidas por el artículo </w:t>
      </w:r>
      <w:hyperlink r:id="rId8" w:anchor="8" w:history="1">
        <w:r w:rsidRPr="00CF62D5">
          <w:rPr>
            <w:rFonts w:ascii="Arial" w:eastAsiaTheme="minorEastAsia" w:hAnsi="Arial" w:cs="Arial"/>
            <w:lang w:val="es-ES" w:eastAsia="es-ES"/>
          </w:rPr>
          <w:t>8°</w:t>
        </w:r>
      </w:hyperlink>
      <w:r w:rsidRPr="00CF62D5">
        <w:rPr>
          <w:rFonts w:ascii="Arial" w:eastAsiaTheme="minorEastAsia" w:hAnsi="Arial" w:cs="Arial"/>
          <w:lang w:val="es-ES" w:eastAsia="es-ES"/>
        </w:rPr>
        <w:t xml:space="preserve"> de la Ley 136 de 1994 para la creación de municipios.</w:t>
      </w:r>
    </w:p>
    <w:p w14:paraId="33028EAE"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04287F3C"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lang w:val="es-ES" w:eastAsia="es-ES"/>
        </w:rPr>
        <w:t xml:space="preserve">La correspondiente oficina de Planeación Departamental realizará en la respectiva zona de conflicto intermunicipal una investigación histórica y técnica con el objeto de verificar y certificar mediante estudio documentado y escrito que definitivamente en el territorio en conflicto, se presentan aspectos e indefinición de límites o problemas de identidad natural, social, cultural o económica que hagan aconsejable el </w:t>
      </w:r>
      <w:proofErr w:type="spellStart"/>
      <w:r w:rsidRPr="00CF62D5">
        <w:rPr>
          <w:rFonts w:ascii="Arial" w:eastAsiaTheme="minorEastAsia" w:hAnsi="Arial" w:cs="Arial"/>
          <w:lang w:val="es-ES" w:eastAsia="es-ES"/>
        </w:rPr>
        <w:t>anexamiento</w:t>
      </w:r>
      <w:proofErr w:type="spellEnd"/>
      <w:r w:rsidRPr="00CF62D5">
        <w:rPr>
          <w:rFonts w:ascii="Arial" w:eastAsiaTheme="minorEastAsia" w:hAnsi="Arial" w:cs="Arial"/>
          <w:lang w:val="es-ES" w:eastAsia="es-ES"/>
        </w:rPr>
        <w:t xml:space="preserve"> y la consiguiente agregación de áreas territoriales.</w:t>
      </w:r>
    </w:p>
    <w:p w14:paraId="20A5C1FE"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120FF2A9"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lang w:val="es-ES" w:eastAsia="es-ES"/>
        </w:rPr>
        <w:lastRenderedPageBreak/>
        <w:t>2. Si se trata de límite dudoso en que esté implicada alguna entidad territorial indígena se remitirá el expediente al Ministerio del Interior y de Justicia para que lo defina de acuerdo con el procedimiento que se convenga con sus representantes.</w:t>
      </w:r>
    </w:p>
    <w:p w14:paraId="08DCF884"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20369F7F"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lang w:val="es-ES" w:eastAsia="es-ES"/>
        </w:rPr>
        <w:t>3. Si se trata de límite dudoso en que esté implicado alguna región territorial, departamento, distrito, o municipio integrante de una área metropolitana, el Instituto Geográfico Agustín Codazzi remitirá el expediente de límite dudoso a las Comisiones Especiales de Seguimiento al Proceso de Descentralización y Ordenamiento Territorial, para que dentro de un término razonable según la complejidad del caso, soliciten conceptos técnicos a órganos consultivos del Gobierno Nacional, especialmente al IGAC, y adelante todas las actividades y diligencias necesarias, con intervención de las partes y el apoyo de profesionales expertos en la materia, proponga un trazado para definir el límite dudoso o en conflicto. La decisión tomada al respecto por las Comisiones Conjuntas Especiales de Seguimiento al Proceso de Descentralización y Ordenamiento Territorial del Senado de la República y Cámara de Representantes, se considerará como propuesta definitiva para ser presentada ante la Plenaria de Senado.</w:t>
      </w:r>
    </w:p>
    <w:p w14:paraId="6A917FCF"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6AE11CA3" w14:textId="3A1C3306" w:rsidR="00CF62D5" w:rsidRPr="00CF62D5" w:rsidRDefault="00CF62D5" w:rsidP="00CF62D5">
      <w:pPr>
        <w:spacing w:line="276" w:lineRule="auto"/>
        <w:jc w:val="both"/>
        <w:rPr>
          <w:rFonts w:ascii="Arial" w:eastAsiaTheme="minorEastAsia" w:hAnsi="Arial" w:cs="Arial"/>
          <w:lang w:val="es-ES" w:eastAsia="es-ES"/>
        </w:rPr>
      </w:pPr>
      <w:r w:rsidRPr="00CF62D5">
        <w:rPr>
          <w:rFonts w:ascii="Arial" w:eastAsiaTheme="minorEastAsia" w:hAnsi="Arial"/>
          <w:b/>
          <w:color w:val="222222"/>
          <w:lang w:val="es-ES" w:eastAsia="es-ES"/>
        </w:rPr>
        <w:t>Parágrafo 1º.</w:t>
      </w:r>
      <w:r w:rsidR="0095138F">
        <w:rPr>
          <w:rFonts w:ascii="Arial" w:eastAsiaTheme="minorEastAsia" w:hAnsi="Arial"/>
          <w:b/>
          <w:color w:val="222222"/>
          <w:lang w:val="es-ES" w:eastAsia="es-ES"/>
        </w:rPr>
        <w:t xml:space="preserve"> </w:t>
      </w:r>
      <w:r w:rsidRPr="00CF62D5">
        <w:rPr>
          <w:rFonts w:ascii="Arial" w:eastAsiaTheme="minorEastAsia" w:hAnsi="Arial" w:cs="Arial"/>
          <w:lang w:val="es-ES" w:eastAsia="es-ES"/>
        </w:rPr>
        <w:t xml:space="preserve">Como mecanismo adicional para la solución de diferendos limítrofes de que trata este numeral, las Comisiones Especiales de Seguimiento al Proceso de Descentralización del Ordenamiento Territorial del Senado de la República y de la Cámara de Representantes deberán solicitar al Instituto Geográfico Agustín Codazzi y al Ministerio del Interior, realizar una reunión de consulta en la que se garantice la participación de las comunidades que habitan las áreas en litigio, con el objetivo de conocer los intereses de los habitantes de acuerdo a sus tradiciones históricas, de identidad regional, social y cultural.  </w:t>
      </w:r>
    </w:p>
    <w:p w14:paraId="59147D65" w14:textId="77777777" w:rsidR="00CF62D5" w:rsidRPr="00CF62D5" w:rsidRDefault="00CF62D5" w:rsidP="00CF62D5">
      <w:pPr>
        <w:spacing w:line="276" w:lineRule="auto"/>
        <w:jc w:val="both"/>
        <w:rPr>
          <w:rFonts w:ascii="Arial" w:eastAsiaTheme="minorEastAsia" w:hAnsi="Arial" w:cs="Arial"/>
          <w:lang w:val="es-ES" w:eastAsia="es-ES"/>
        </w:rPr>
      </w:pPr>
    </w:p>
    <w:p w14:paraId="021B5FFD" w14:textId="77777777" w:rsidR="00CF62D5" w:rsidRPr="00CF62D5" w:rsidRDefault="00CF62D5" w:rsidP="00CF62D5">
      <w:pPr>
        <w:spacing w:line="276" w:lineRule="auto"/>
        <w:jc w:val="both"/>
        <w:rPr>
          <w:rFonts w:ascii="Arial" w:eastAsiaTheme="minorEastAsia" w:hAnsi="Arial"/>
          <w:i/>
          <w:color w:val="222222"/>
          <w:lang w:val="es-ES" w:eastAsia="es-ES"/>
        </w:rPr>
      </w:pPr>
      <w:r w:rsidRPr="00CF62D5">
        <w:rPr>
          <w:rFonts w:ascii="Arial" w:eastAsiaTheme="minorEastAsia" w:hAnsi="Arial" w:cs="Arial"/>
          <w:lang w:val="es-ES" w:eastAsia="es-ES"/>
        </w:rPr>
        <w:t xml:space="preserve">El mecanismo de consulta planteado deberá ser reglamentado por el Ministerio de Interior en un plazo máximo de seis (6) meses a partir de la vigencia de la presente ley, de forma consiente con el Marco fiscal de mediano plazo y en el Marco de Gasto del sector. </w:t>
      </w:r>
    </w:p>
    <w:p w14:paraId="6F3E2DA5" w14:textId="77777777" w:rsidR="00CF62D5" w:rsidRPr="00CF62D5" w:rsidRDefault="00CF62D5" w:rsidP="00CF62D5">
      <w:pPr>
        <w:spacing w:line="276" w:lineRule="auto"/>
        <w:jc w:val="both"/>
        <w:rPr>
          <w:rFonts w:ascii="Arial" w:eastAsiaTheme="minorEastAsia" w:hAnsi="Arial"/>
          <w:i/>
          <w:color w:val="222222"/>
          <w:u w:val="single"/>
          <w:lang w:val="es-ES" w:eastAsia="es-ES"/>
        </w:rPr>
      </w:pPr>
    </w:p>
    <w:p w14:paraId="3F6A10C0"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b/>
          <w:lang w:val="es-ES" w:eastAsia="es-ES"/>
        </w:rPr>
        <w:t>Parágrafo 2º.</w:t>
      </w:r>
      <w:r w:rsidRPr="00CF62D5">
        <w:rPr>
          <w:rFonts w:ascii="Arial" w:eastAsiaTheme="minorEastAsia" w:hAnsi="Arial" w:cs="Arial"/>
          <w:lang w:val="es-ES" w:eastAsia="es-ES"/>
        </w:rPr>
        <w:t xml:space="preserve"> Mientras se surten los procedimientos de definición de límites dudosos entre las entidades territoriales involucradas, estas conservan sus competencias constitucionales y legales para todos los efectos.</w:t>
      </w:r>
    </w:p>
    <w:p w14:paraId="63115F41"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2C8021B9"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b/>
          <w:bCs/>
          <w:lang w:val="es-ES" w:eastAsia="es-ES"/>
        </w:rPr>
        <w:lastRenderedPageBreak/>
        <w:t>Parágrafo 3°.</w:t>
      </w:r>
      <w:r w:rsidRPr="00CF62D5">
        <w:rPr>
          <w:rFonts w:ascii="Arial" w:eastAsiaTheme="minorEastAsia" w:hAnsi="Arial" w:cs="Arial"/>
          <w:lang w:val="es-ES" w:eastAsia="es-ES"/>
        </w:rPr>
        <w:t xml:space="preserve"> Cuando los límites dudosos involucren varios municipios, departamentos o distritos, deberá solicitarse al IGAC, dentro del mes siguiente a la recepción del expediente, una delimitación provisional de la zona en disputa, lo cual se hará con base en los documentos históricos y catastrales que posea el instituto. Esta delimitación provisional deberá hacerse en un plazo máximo de tres (3) meses. Mientras se surten estos trámites, las entidades territoriales involucradas conservarán sus competencias constitucionales y legales para todos los efectos legales.</w:t>
      </w:r>
    </w:p>
    <w:p w14:paraId="4A9A7944"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p>
    <w:p w14:paraId="232B1559"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olor w:val="222222"/>
          <w:lang w:val="es-ES" w:eastAsia="es-ES"/>
        </w:rPr>
      </w:pPr>
      <w:r w:rsidRPr="00CF62D5">
        <w:rPr>
          <w:rFonts w:ascii="Arial" w:eastAsiaTheme="minorEastAsia" w:hAnsi="Arial" w:cs="Arial"/>
          <w:lang w:val="es-ES" w:eastAsia="es-ES"/>
        </w:rPr>
        <w:t>Una vez hecha la delimitación provisional, se aplicará lo dispuesto en el parágrafo 2° del presente artículo.</w:t>
      </w:r>
    </w:p>
    <w:p w14:paraId="46DEC389"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b/>
          <w:bCs/>
          <w:lang w:val="es-ES" w:eastAsia="es-ES"/>
        </w:rPr>
      </w:pPr>
    </w:p>
    <w:p w14:paraId="6B002E31" w14:textId="77777777" w:rsidR="00CF62D5" w:rsidRPr="00CF62D5" w:rsidRDefault="00CF62D5" w:rsidP="00CF62D5">
      <w:pPr>
        <w:widowControl w:val="0"/>
        <w:autoSpaceDE w:val="0"/>
        <w:autoSpaceDN w:val="0"/>
        <w:adjustRightInd w:val="0"/>
        <w:spacing w:line="276" w:lineRule="auto"/>
        <w:jc w:val="both"/>
        <w:rPr>
          <w:rFonts w:ascii="Arial" w:eastAsiaTheme="minorEastAsia" w:hAnsi="Arial" w:cs="Arial"/>
          <w:lang w:val="es-ES" w:eastAsia="es-ES"/>
        </w:rPr>
      </w:pPr>
      <w:r w:rsidRPr="00CF62D5">
        <w:rPr>
          <w:rFonts w:ascii="Arial" w:eastAsiaTheme="minorEastAsia" w:hAnsi="Arial" w:cs="Arial"/>
          <w:b/>
          <w:bCs/>
          <w:lang w:val="es-ES" w:eastAsia="es-ES"/>
        </w:rPr>
        <w:t xml:space="preserve">Artículo 2o. </w:t>
      </w:r>
      <w:r w:rsidRPr="00CF62D5">
        <w:rPr>
          <w:rFonts w:ascii="Arial" w:eastAsiaTheme="minorEastAsia" w:hAnsi="Arial" w:cs="Arial"/>
          <w:lang w:val="es-ES" w:eastAsia="es-ES"/>
        </w:rPr>
        <w:t>La presente ley rige a partir de la fecha de su sanción y promulgación y deroga las demás disposiciones que le sean contrarias.</w:t>
      </w:r>
    </w:p>
    <w:p w14:paraId="0B2115DD" w14:textId="77777777" w:rsidR="00800625" w:rsidRDefault="00800625" w:rsidP="00452B2A">
      <w:pPr>
        <w:shd w:val="clear" w:color="auto" w:fill="FFFFFF"/>
        <w:tabs>
          <w:tab w:val="left" w:pos="3885"/>
        </w:tabs>
        <w:rPr>
          <w:rFonts w:ascii="Arial" w:hAnsi="Arial" w:cs="Arial"/>
          <w:b/>
          <w:bCs/>
          <w:color w:val="000000"/>
        </w:rPr>
      </w:pPr>
    </w:p>
    <w:p w14:paraId="630A3ABB" w14:textId="77777777" w:rsidR="00800625" w:rsidRDefault="00800625" w:rsidP="001A6175">
      <w:pPr>
        <w:jc w:val="both"/>
        <w:rPr>
          <w:rFonts w:ascii="Arial" w:hAnsi="Arial" w:cs="Arial"/>
          <w:color w:val="000000"/>
        </w:rPr>
      </w:pPr>
      <w:bookmarkStart w:id="0" w:name="_GoBack"/>
      <w:bookmarkEnd w:id="0"/>
    </w:p>
    <w:p w14:paraId="55C23A83" w14:textId="6AA8B0F1" w:rsidR="00202B64" w:rsidRDefault="003C45CE" w:rsidP="001A6175">
      <w:pPr>
        <w:jc w:val="both"/>
        <w:rPr>
          <w:rFonts w:ascii="Arial" w:hAnsi="Arial" w:cs="Arial"/>
          <w:color w:val="000000"/>
          <w:lang w:val="es-ES"/>
        </w:rPr>
      </w:pPr>
      <w:r>
        <w:rPr>
          <w:rFonts w:ascii="Arial" w:hAnsi="Arial" w:cs="Arial"/>
          <w:color w:val="000000"/>
        </w:rPr>
        <w:t>E</w:t>
      </w:r>
      <w:r w:rsidR="00202B64" w:rsidRPr="001A6175">
        <w:rPr>
          <w:rFonts w:ascii="Arial" w:hAnsi="Arial" w:cs="Arial"/>
          <w:color w:val="000000"/>
        </w:rPr>
        <w:t>n los anteriores términos fue aprobado</w:t>
      </w:r>
      <w:r w:rsidR="00704A60">
        <w:rPr>
          <w:rFonts w:ascii="Arial" w:hAnsi="Arial" w:cs="Arial"/>
          <w:color w:val="000000"/>
        </w:rPr>
        <w:t xml:space="preserve"> </w:t>
      </w:r>
      <w:r w:rsidR="00CF62D5">
        <w:rPr>
          <w:rFonts w:ascii="Arial" w:hAnsi="Arial" w:cs="Arial"/>
          <w:color w:val="000000"/>
        </w:rPr>
        <w:t>si</w:t>
      </w:r>
      <w:r w:rsidR="00202B64" w:rsidRPr="001A6175">
        <w:rPr>
          <w:rFonts w:ascii="Arial" w:hAnsi="Arial" w:cs="Arial"/>
          <w:color w:val="000000"/>
        </w:rPr>
        <w:t>n modificaciones el presente Proyecto de Le</w:t>
      </w:r>
      <w:r w:rsidR="00704A60">
        <w:rPr>
          <w:rFonts w:ascii="Arial" w:hAnsi="Arial" w:cs="Arial"/>
          <w:color w:val="000000"/>
        </w:rPr>
        <w:t xml:space="preserve">y </w:t>
      </w:r>
      <w:r w:rsidR="00202B64" w:rsidRPr="001A6175">
        <w:rPr>
          <w:rFonts w:ascii="Arial" w:hAnsi="Arial" w:cs="Arial"/>
          <w:color w:val="000000"/>
        </w:rPr>
        <w:t xml:space="preserve">según consta en Acta No. </w:t>
      </w:r>
      <w:r>
        <w:rPr>
          <w:rFonts w:ascii="Arial" w:hAnsi="Arial" w:cs="Arial"/>
          <w:color w:val="000000"/>
        </w:rPr>
        <w:t>36</w:t>
      </w:r>
      <w:r w:rsidR="00202B64" w:rsidRPr="001A6175">
        <w:rPr>
          <w:rFonts w:ascii="Arial" w:hAnsi="Arial" w:cs="Arial"/>
          <w:color w:val="000000"/>
        </w:rPr>
        <w:t xml:space="preserve"> de </w:t>
      </w:r>
      <w:r>
        <w:rPr>
          <w:rFonts w:ascii="Arial" w:hAnsi="Arial" w:cs="Arial"/>
          <w:color w:val="000000"/>
        </w:rPr>
        <w:t xml:space="preserve">marzo 20 </w:t>
      </w:r>
      <w:r w:rsidR="00202B64" w:rsidRPr="001A6175">
        <w:rPr>
          <w:rFonts w:ascii="Arial" w:hAnsi="Arial" w:cs="Arial"/>
          <w:color w:val="000000"/>
        </w:rPr>
        <w:t>de 201</w:t>
      </w:r>
      <w:r>
        <w:rPr>
          <w:rFonts w:ascii="Arial" w:hAnsi="Arial" w:cs="Arial"/>
          <w:color w:val="000000"/>
        </w:rPr>
        <w:t>9</w:t>
      </w:r>
      <w:r w:rsidR="00202B64" w:rsidRPr="001A6175">
        <w:rPr>
          <w:rFonts w:ascii="Arial" w:hAnsi="Arial" w:cs="Arial"/>
          <w:color w:val="000000"/>
        </w:rPr>
        <w:t xml:space="preserve">. </w:t>
      </w:r>
      <w:r w:rsidR="00202B64" w:rsidRPr="001A6175">
        <w:rPr>
          <w:rFonts w:ascii="Arial" w:hAnsi="Arial" w:cs="Arial"/>
          <w:color w:val="000000"/>
          <w:lang w:val="es-ES"/>
        </w:rPr>
        <w:t>Anunciado</w:t>
      </w:r>
      <w:r>
        <w:rPr>
          <w:rFonts w:ascii="Arial" w:hAnsi="Arial" w:cs="Arial"/>
          <w:color w:val="000000"/>
          <w:lang w:val="es-ES"/>
        </w:rPr>
        <w:t xml:space="preserve"> entre otras fechas, </w:t>
      </w:r>
      <w:r w:rsidR="00202B64" w:rsidRPr="001A6175">
        <w:rPr>
          <w:rFonts w:ascii="Arial" w:hAnsi="Arial" w:cs="Arial"/>
          <w:color w:val="000000"/>
          <w:lang w:val="es-ES"/>
        </w:rPr>
        <w:t>el 1</w:t>
      </w:r>
      <w:r>
        <w:rPr>
          <w:rFonts w:ascii="Arial" w:hAnsi="Arial" w:cs="Arial"/>
          <w:color w:val="000000"/>
          <w:lang w:val="es-ES"/>
        </w:rPr>
        <w:t>9</w:t>
      </w:r>
      <w:r w:rsidR="00202B64" w:rsidRPr="001A6175">
        <w:rPr>
          <w:rFonts w:ascii="Arial" w:hAnsi="Arial" w:cs="Arial"/>
          <w:color w:val="000000"/>
          <w:lang w:val="es-ES"/>
        </w:rPr>
        <w:t xml:space="preserve"> de </w:t>
      </w:r>
      <w:r>
        <w:rPr>
          <w:rFonts w:ascii="Arial" w:hAnsi="Arial" w:cs="Arial"/>
          <w:color w:val="000000"/>
          <w:lang w:val="es-ES"/>
        </w:rPr>
        <w:t>marzo de 2019</w:t>
      </w:r>
      <w:r w:rsidR="00202B64" w:rsidRPr="001A6175">
        <w:rPr>
          <w:rFonts w:ascii="Arial" w:hAnsi="Arial" w:cs="Arial"/>
          <w:color w:val="000000"/>
          <w:lang w:val="es-ES"/>
        </w:rPr>
        <w:t xml:space="preserve"> según consta en Acta No. </w:t>
      </w:r>
      <w:r>
        <w:rPr>
          <w:rFonts w:ascii="Arial" w:hAnsi="Arial" w:cs="Arial"/>
          <w:color w:val="000000"/>
          <w:lang w:val="es-ES"/>
        </w:rPr>
        <w:t>35</w:t>
      </w:r>
      <w:r w:rsidR="00202B64" w:rsidRPr="001A6175">
        <w:rPr>
          <w:rFonts w:ascii="Arial" w:hAnsi="Arial" w:cs="Arial"/>
          <w:color w:val="000000"/>
          <w:lang w:val="es-ES"/>
        </w:rPr>
        <w:t xml:space="preserve"> de la misma fecha.  </w:t>
      </w:r>
    </w:p>
    <w:p w14:paraId="35A198EB" w14:textId="77777777" w:rsidR="005A1FEB" w:rsidRDefault="005A1FEB" w:rsidP="001A6175">
      <w:pPr>
        <w:jc w:val="both"/>
        <w:rPr>
          <w:rFonts w:ascii="Arial" w:hAnsi="Arial" w:cs="Arial"/>
          <w:color w:val="000000"/>
          <w:lang w:val="es-ES"/>
        </w:rPr>
      </w:pPr>
    </w:p>
    <w:p w14:paraId="4C65D9A0" w14:textId="77777777" w:rsidR="00202B64" w:rsidRPr="001A6175" w:rsidRDefault="00202B64" w:rsidP="001A6175">
      <w:pPr>
        <w:jc w:val="both"/>
        <w:rPr>
          <w:rFonts w:ascii="Arial" w:hAnsi="Arial" w:cs="Arial"/>
          <w:b/>
        </w:rPr>
      </w:pPr>
    </w:p>
    <w:p w14:paraId="3148E57A" w14:textId="77777777" w:rsidR="00202B64" w:rsidRPr="001A6175" w:rsidRDefault="00202B64" w:rsidP="001A6175">
      <w:pPr>
        <w:jc w:val="both"/>
        <w:rPr>
          <w:rFonts w:ascii="Arial" w:hAnsi="Arial" w:cs="Arial"/>
          <w:b/>
        </w:rPr>
      </w:pPr>
    </w:p>
    <w:p w14:paraId="0FE98D48" w14:textId="0D5DFA68" w:rsidR="00CF62D5" w:rsidRDefault="00CF62D5" w:rsidP="001A6175">
      <w:pPr>
        <w:jc w:val="both"/>
        <w:rPr>
          <w:rFonts w:ascii="Arial" w:hAnsi="Arial" w:cs="Arial"/>
          <w:b/>
          <w:color w:val="000000" w:themeColor="text1"/>
          <w:lang w:val="es-ES"/>
        </w:rPr>
      </w:pPr>
      <w:r>
        <w:rPr>
          <w:rFonts w:ascii="Arial" w:hAnsi="Arial" w:cs="Arial"/>
          <w:b/>
        </w:rPr>
        <w:t>HARRY G. GONZÁLEZ GARCÍA</w:t>
      </w:r>
      <w:r w:rsidR="003C45CE">
        <w:rPr>
          <w:rFonts w:ascii="Arial" w:hAnsi="Arial" w:cs="Arial"/>
          <w:b/>
        </w:rPr>
        <w:t xml:space="preserve"> </w:t>
      </w:r>
      <w:r w:rsidR="00202B64" w:rsidRPr="001A6175">
        <w:rPr>
          <w:rFonts w:ascii="Arial" w:hAnsi="Arial" w:cs="Arial"/>
          <w:b/>
        </w:rPr>
        <w:tab/>
      </w:r>
      <w:r>
        <w:rPr>
          <w:rFonts w:ascii="Arial" w:hAnsi="Arial" w:cs="Arial"/>
          <w:b/>
          <w:color w:val="000000" w:themeColor="text1"/>
          <w:lang w:val="es-ES"/>
        </w:rPr>
        <w:t>MARGARITA M. RESTREPO ARANGO</w:t>
      </w:r>
    </w:p>
    <w:p w14:paraId="4FDD51EF" w14:textId="0EC4F6AF" w:rsidR="00202B64" w:rsidRPr="00B47D3D" w:rsidRDefault="003C45CE" w:rsidP="001A6175">
      <w:pPr>
        <w:jc w:val="both"/>
        <w:rPr>
          <w:rFonts w:ascii="Arial" w:hAnsi="Arial" w:cs="Arial"/>
          <w:color w:val="000000" w:themeColor="text1"/>
          <w:lang w:val="es-ES"/>
        </w:rPr>
      </w:pPr>
      <w:r>
        <w:rPr>
          <w:rFonts w:ascii="Arial" w:hAnsi="Arial" w:cs="Arial"/>
          <w:color w:val="000000" w:themeColor="text1"/>
          <w:lang w:val="es-ES"/>
        </w:rPr>
        <w:t>Co</w:t>
      </w:r>
      <w:r w:rsidR="00CF62D5">
        <w:rPr>
          <w:rFonts w:ascii="Arial" w:hAnsi="Arial" w:cs="Arial"/>
          <w:color w:val="000000" w:themeColor="text1"/>
          <w:lang w:val="es-ES"/>
        </w:rPr>
        <w:t>ordinador Ponente</w:t>
      </w:r>
      <w:r w:rsidR="00CF62D5">
        <w:rPr>
          <w:rFonts w:ascii="Arial" w:hAnsi="Arial" w:cs="Arial"/>
          <w:color w:val="000000" w:themeColor="text1"/>
          <w:lang w:val="es-ES"/>
        </w:rPr>
        <w:tab/>
      </w:r>
      <w:r w:rsidR="00CF62D5">
        <w:rPr>
          <w:rFonts w:ascii="Arial" w:hAnsi="Arial" w:cs="Arial"/>
          <w:color w:val="000000" w:themeColor="text1"/>
          <w:lang w:val="es-ES"/>
        </w:rPr>
        <w:tab/>
        <w:t xml:space="preserve">          </w:t>
      </w:r>
      <w:r w:rsidR="00CF62D5">
        <w:rPr>
          <w:rFonts w:ascii="Arial" w:hAnsi="Arial" w:cs="Arial"/>
          <w:color w:val="000000" w:themeColor="text1"/>
          <w:lang w:val="es-ES"/>
        </w:rPr>
        <w:tab/>
        <w:t>Coordinadora Ponente</w:t>
      </w:r>
    </w:p>
    <w:p w14:paraId="789D2200" w14:textId="77777777" w:rsidR="00202B64" w:rsidRPr="001A6175" w:rsidRDefault="00202B64" w:rsidP="001A6175">
      <w:pPr>
        <w:jc w:val="both"/>
        <w:rPr>
          <w:rFonts w:ascii="Arial" w:hAnsi="Arial" w:cs="Arial"/>
          <w:b/>
          <w:color w:val="000000" w:themeColor="text1"/>
          <w:lang w:val="es-ES"/>
        </w:rPr>
      </w:pPr>
    </w:p>
    <w:p w14:paraId="3F2E5495" w14:textId="77777777" w:rsidR="00202B64" w:rsidRPr="001A6175" w:rsidRDefault="00202B64" w:rsidP="001A6175">
      <w:pPr>
        <w:jc w:val="both"/>
        <w:rPr>
          <w:rFonts w:ascii="Arial" w:hAnsi="Arial" w:cs="Arial"/>
          <w:b/>
          <w:color w:val="000000" w:themeColor="text1"/>
          <w:lang w:val="es-ES"/>
        </w:rPr>
      </w:pPr>
    </w:p>
    <w:p w14:paraId="1D4FD8B9" w14:textId="77777777" w:rsidR="00202B64" w:rsidRDefault="00202B64" w:rsidP="001A6175">
      <w:pPr>
        <w:jc w:val="both"/>
        <w:rPr>
          <w:rFonts w:ascii="Arial" w:hAnsi="Arial" w:cs="Arial"/>
          <w:b/>
          <w:color w:val="000000" w:themeColor="text1"/>
          <w:lang w:val="es-ES"/>
        </w:rPr>
      </w:pPr>
    </w:p>
    <w:p w14:paraId="0A5C68A3" w14:textId="3D80C3EF" w:rsidR="00CF62D5" w:rsidRPr="001A6175" w:rsidRDefault="00CF62D5" w:rsidP="001A6175">
      <w:pPr>
        <w:jc w:val="both"/>
        <w:rPr>
          <w:rFonts w:ascii="Arial" w:hAnsi="Arial" w:cs="Arial"/>
          <w:b/>
          <w:color w:val="000000" w:themeColor="text1"/>
          <w:lang w:val="es-ES"/>
        </w:rPr>
      </w:pPr>
      <w:r>
        <w:rPr>
          <w:rFonts w:ascii="Arial" w:hAnsi="Arial" w:cs="Arial"/>
          <w:b/>
          <w:color w:val="000000" w:themeColor="text1"/>
          <w:lang w:val="es-ES"/>
        </w:rPr>
        <w:t>GABRIEL SANTOS GARCÍA</w:t>
      </w:r>
      <w:r>
        <w:rPr>
          <w:rFonts w:ascii="Arial" w:hAnsi="Arial" w:cs="Arial"/>
          <w:b/>
          <w:color w:val="000000" w:themeColor="text1"/>
          <w:lang w:val="es-ES"/>
        </w:rPr>
        <w:tab/>
      </w:r>
      <w:r>
        <w:rPr>
          <w:rFonts w:ascii="Arial" w:hAnsi="Arial" w:cs="Arial"/>
          <w:b/>
          <w:color w:val="000000" w:themeColor="text1"/>
          <w:lang w:val="es-ES"/>
        </w:rPr>
        <w:tab/>
        <w:t>AMPARO Y. CALDERÓN PERDOMO</w:t>
      </w:r>
    </w:p>
    <w:p w14:paraId="1970E20D" w14:textId="37A9D07A" w:rsidR="003C45CE" w:rsidRPr="005F6CB9" w:rsidRDefault="00CF62D5" w:rsidP="00427362">
      <w:pPr>
        <w:jc w:val="both"/>
        <w:rPr>
          <w:rFonts w:ascii="Arial" w:hAnsi="Arial" w:cs="Arial"/>
          <w:color w:val="000000"/>
        </w:rPr>
      </w:pPr>
      <w:r w:rsidRPr="00CF62D5">
        <w:rPr>
          <w:rFonts w:ascii="Arial" w:hAnsi="Arial" w:cs="Arial"/>
          <w:color w:val="000000" w:themeColor="text1"/>
          <w:lang w:val="es-ES"/>
        </w:rPr>
        <w:t>Presidente</w:t>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r>
      <w:r>
        <w:rPr>
          <w:rFonts w:ascii="Arial" w:hAnsi="Arial" w:cs="Arial"/>
          <w:color w:val="000000" w:themeColor="text1"/>
          <w:lang w:val="es-ES"/>
        </w:rPr>
        <w:tab/>
        <w:t>Secretaria</w:t>
      </w:r>
    </w:p>
    <w:p w14:paraId="58518A38" w14:textId="77777777" w:rsidR="003C45CE" w:rsidRDefault="003C45CE" w:rsidP="001F16D5">
      <w:pPr>
        <w:ind w:left="357"/>
        <w:jc w:val="center"/>
        <w:rPr>
          <w:rFonts w:ascii="Arial" w:hAnsi="Arial" w:cs="Arial"/>
          <w:b/>
          <w:bCs/>
          <w:lang w:val="es-MX" w:eastAsia="es-ES"/>
        </w:rPr>
      </w:pPr>
    </w:p>
    <w:sectPr w:rsidR="003C45C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1AEF" w14:textId="77777777" w:rsidR="00AB76DC" w:rsidRDefault="00AB76DC" w:rsidP="00400E1B">
      <w:r>
        <w:separator/>
      </w:r>
    </w:p>
  </w:endnote>
  <w:endnote w:type="continuationSeparator" w:id="0">
    <w:p w14:paraId="4C86554A" w14:textId="77777777" w:rsidR="00AB76DC" w:rsidRDefault="00AB76DC"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95138F" w:rsidRPr="0095138F">
          <w:rPr>
            <w:noProof/>
            <w:lang w:val="es-ES"/>
          </w:rPr>
          <w:t>3</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7C30" w14:textId="77777777" w:rsidR="00AB76DC" w:rsidRDefault="00AB76DC" w:rsidP="00400E1B">
      <w:r>
        <w:separator/>
      </w:r>
    </w:p>
  </w:footnote>
  <w:footnote w:type="continuationSeparator" w:id="0">
    <w:p w14:paraId="55EB819C" w14:textId="77777777" w:rsidR="00AB76DC" w:rsidRDefault="00AB76DC"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w:instrText>
    </w:r>
    <w:r w:rsidR="00AB76DC">
      <w:rPr>
        <w:rFonts w:asciiTheme="minorHAnsi" w:eastAsiaTheme="minorHAnsi" w:hAnsiTheme="minorHAnsi" w:cstheme="minorBidi"/>
        <w:b/>
        <w:sz w:val="22"/>
        <w:szCs w:val="22"/>
        <w:lang w:eastAsia="en-US"/>
      </w:rPr>
      <w:instrText>INCLUDEPICTURE  "http://entrecomillas.com.co/wp-con</w:instrText>
    </w:r>
    <w:r w:rsidR="00AB76DC">
      <w:rPr>
        <w:rFonts w:asciiTheme="minorHAnsi" w:eastAsiaTheme="minorHAnsi" w:hAnsiTheme="minorHAnsi" w:cstheme="minorBidi"/>
        <w:b/>
        <w:sz w:val="22"/>
        <w:szCs w:val="22"/>
        <w:lang w:eastAsia="en-US"/>
      </w:rPr>
      <w:instrText>tent/uploads/2014/09/logo_20congreso_1.png" \* MERGEFORMATINET</w:instrText>
    </w:r>
    <w:r w:rsidR="00AB76DC">
      <w:rPr>
        <w:rFonts w:asciiTheme="minorHAnsi" w:eastAsiaTheme="minorHAnsi" w:hAnsiTheme="minorHAnsi" w:cstheme="minorBidi"/>
        <w:b/>
        <w:sz w:val="22"/>
        <w:szCs w:val="22"/>
        <w:lang w:eastAsia="en-US"/>
      </w:rPr>
      <w:instrText xml:space="preserve"> </w:instrText>
    </w:r>
    <w:r w:rsidR="00AB76DC">
      <w:rPr>
        <w:rFonts w:asciiTheme="minorHAnsi" w:eastAsiaTheme="minorHAnsi" w:hAnsiTheme="minorHAnsi" w:cstheme="minorBidi"/>
        <w:b/>
        <w:sz w:val="22"/>
        <w:szCs w:val="22"/>
        <w:lang w:eastAsia="en-US"/>
      </w:rPr>
      <w:fldChar w:fldCharType="separate"/>
    </w:r>
    <w:r w:rsidR="00CF62D5">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5144B"/>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44AB8"/>
    <w:rsid w:val="00146EBC"/>
    <w:rsid w:val="001511DD"/>
    <w:rsid w:val="001521A8"/>
    <w:rsid w:val="0018798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2E7949"/>
    <w:rsid w:val="0030009B"/>
    <w:rsid w:val="00300E54"/>
    <w:rsid w:val="003015FF"/>
    <w:rsid w:val="00304565"/>
    <w:rsid w:val="00320504"/>
    <w:rsid w:val="00341041"/>
    <w:rsid w:val="00350573"/>
    <w:rsid w:val="00356691"/>
    <w:rsid w:val="00360667"/>
    <w:rsid w:val="00367C96"/>
    <w:rsid w:val="003B52EB"/>
    <w:rsid w:val="003C1552"/>
    <w:rsid w:val="003C45CE"/>
    <w:rsid w:val="003E4041"/>
    <w:rsid w:val="00400E1B"/>
    <w:rsid w:val="00403776"/>
    <w:rsid w:val="0041326F"/>
    <w:rsid w:val="00427362"/>
    <w:rsid w:val="00435756"/>
    <w:rsid w:val="00436226"/>
    <w:rsid w:val="00443039"/>
    <w:rsid w:val="004455B7"/>
    <w:rsid w:val="00450CAB"/>
    <w:rsid w:val="00452B2A"/>
    <w:rsid w:val="004570F3"/>
    <w:rsid w:val="0048397C"/>
    <w:rsid w:val="004A46C3"/>
    <w:rsid w:val="004C57AF"/>
    <w:rsid w:val="004C5F9B"/>
    <w:rsid w:val="004C7323"/>
    <w:rsid w:val="004D3EA4"/>
    <w:rsid w:val="00523D7D"/>
    <w:rsid w:val="00547EE8"/>
    <w:rsid w:val="00553D1D"/>
    <w:rsid w:val="00561360"/>
    <w:rsid w:val="0058017D"/>
    <w:rsid w:val="005852FD"/>
    <w:rsid w:val="005A01D3"/>
    <w:rsid w:val="005A1FEB"/>
    <w:rsid w:val="005A2456"/>
    <w:rsid w:val="005A72CD"/>
    <w:rsid w:val="005B701D"/>
    <w:rsid w:val="005F01E5"/>
    <w:rsid w:val="00621388"/>
    <w:rsid w:val="00631F20"/>
    <w:rsid w:val="006435A1"/>
    <w:rsid w:val="006671B2"/>
    <w:rsid w:val="00667246"/>
    <w:rsid w:val="006675D4"/>
    <w:rsid w:val="00674B7F"/>
    <w:rsid w:val="00683103"/>
    <w:rsid w:val="0069721B"/>
    <w:rsid w:val="0069782E"/>
    <w:rsid w:val="006B0D71"/>
    <w:rsid w:val="006C402A"/>
    <w:rsid w:val="006E3DDA"/>
    <w:rsid w:val="006E6412"/>
    <w:rsid w:val="006F26BD"/>
    <w:rsid w:val="00702112"/>
    <w:rsid w:val="00704A60"/>
    <w:rsid w:val="00707184"/>
    <w:rsid w:val="007148A4"/>
    <w:rsid w:val="00721011"/>
    <w:rsid w:val="00736795"/>
    <w:rsid w:val="00737AA3"/>
    <w:rsid w:val="00747D8F"/>
    <w:rsid w:val="00771F4E"/>
    <w:rsid w:val="007757FA"/>
    <w:rsid w:val="00775BB4"/>
    <w:rsid w:val="00782721"/>
    <w:rsid w:val="007C36F0"/>
    <w:rsid w:val="007D0898"/>
    <w:rsid w:val="007D5DEE"/>
    <w:rsid w:val="007D6ABE"/>
    <w:rsid w:val="007E632C"/>
    <w:rsid w:val="007F49CC"/>
    <w:rsid w:val="00800527"/>
    <w:rsid w:val="00800625"/>
    <w:rsid w:val="008034BF"/>
    <w:rsid w:val="00813DE3"/>
    <w:rsid w:val="008164F2"/>
    <w:rsid w:val="00820418"/>
    <w:rsid w:val="0084028F"/>
    <w:rsid w:val="00847969"/>
    <w:rsid w:val="00847F37"/>
    <w:rsid w:val="008515B2"/>
    <w:rsid w:val="008625A3"/>
    <w:rsid w:val="00870441"/>
    <w:rsid w:val="00875AD9"/>
    <w:rsid w:val="00885008"/>
    <w:rsid w:val="008A0533"/>
    <w:rsid w:val="008A4C20"/>
    <w:rsid w:val="008B139D"/>
    <w:rsid w:val="008C5282"/>
    <w:rsid w:val="008D12B9"/>
    <w:rsid w:val="008E5B07"/>
    <w:rsid w:val="008F6E8C"/>
    <w:rsid w:val="00903E93"/>
    <w:rsid w:val="0092120F"/>
    <w:rsid w:val="0095138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1797A"/>
    <w:rsid w:val="00A364C4"/>
    <w:rsid w:val="00A52A53"/>
    <w:rsid w:val="00A9096A"/>
    <w:rsid w:val="00AA4708"/>
    <w:rsid w:val="00AB5672"/>
    <w:rsid w:val="00AB76DC"/>
    <w:rsid w:val="00AC2757"/>
    <w:rsid w:val="00AC6158"/>
    <w:rsid w:val="00AD4509"/>
    <w:rsid w:val="00AD6EE4"/>
    <w:rsid w:val="00AF2658"/>
    <w:rsid w:val="00AF2BDA"/>
    <w:rsid w:val="00B0358A"/>
    <w:rsid w:val="00B1511A"/>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A4D7F"/>
    <w:rsid w:val="00CE2FDE"/>
    <w:rsid w:val="00CE744E"/>
    <w:rsid w:val="00CF1380"/>
    <w:rsid w:val="00CF2D1F"/>
    <w:rsid w:val="00CF62D5"/>
    <w:rsid w:val="00D06B20"/>
    <w:rsid w:val="00D2780A"/>
    <w:rsid w:val="00D435A5"/>
    <w:rsid w:val="00D44913"/>
    <w:rsid w:val="00D51505"/>
    <w:rsid w:val="00D56938"/>
    <w:rsid w:val="00D5698E"/>
    <w:rsid w:val="00D70A28"/>
    <w:rsid w:val="00D973A7"/>
    <w:rsid w:val="00DB40B9"/>
    <w:rsid w:val="00DE64F7"/>
    <w:rsid w:val="00DE7131"/>
    <w:rsid w:val="00E2551E"/>
    <w:rsid w:val="00E26DB5"/>
    <w:rsid w:val="00E406D0"/>
    <w:rsid w:val="00E42587"/>
    <w:rsid w:val="00E82DB8"/>
    <w:rsid w:val="00E87F62"/>
    <w:rsid w:val="00E96AC7"/>
    <w:rsid w:val="00E96BED"/>
    <w:rsid w:val="00EA68BB"/>
    <w:rsid w:val="00EB1A11"/>
    <w:rsid w:val="00EB37DB"/>
    <w:rsid w:val="00EC6950"/>
    <w:rsid w:val="00ED1AEC"/>
    <w:rsid w:val="00F00734"/>
    <w:rsid w:val="00F01714"/>
    <w:rsid w:val="00F029CD"/>
    <w:rsid w:val="00F051A0"/>
    <w:rsid w:val="00F0586B"/>
    <w:rsid w:val="00F17664"/>
    <w:rsid w:val="00F61786"/>
    <w:rsid w:val="00F6408D"/>
    <w:rsid w:val="00F65EC5"/>
    <w:rsid w:val="00F71B30"/>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AB49-C0B6-4514-9557-DB48CBA1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10</cp:revision>
  <cp:lastPrinted>2016-11-10T20:06:00Z</cp:lastPrinted>
  <dcterms:created xsi:type="dcterms:W3CDTF">2019-03-21T16:28:00Z</dcterms:created>
  <dcterms:modified xsi:type="dcterms:W3CDTF">2019-03-21T16:57:00Z</dcterms:modified>
</cp:coreProperties>
</file>